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38" w:rsidRDefault="00667C38" w:rsidP="00667C38">
      <w:pPr>
        <w:jc w:val="right"/>
        <w:rPr>
          <w:b/>
          <w:szCs w:val="28"/>
        </w:rPr>
      </w:pPr>
    </w:p>
    <w:p w:rsidR="00667C38" w:rsidRPr="00F061D3" w:rsidRDefault="00667C38" w:rsidP="00667C3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8B3C60">
        <w:rPr>
          <w:b/>
          <w:szCs w:val="28"/>
        </w:rPr>
        <w:t xml:space="preserve">АЙДАРОВСКОГО  </w:t>
      </w:r>
      <w:r w:rsidRPr="00F061D3">
        <w:rPr>
          <w:b/>
          <w:szCs w:val="28"/>
        </w:rPr>
        <w:t>СЕЛЬСКОГО ПОСЕЛЕНИЯ</w:t>
      </w:r>
    </w:p>
    <w:p w:rsidR="00667C38" w:rsidRPr="00F061D3" w:rsidRDefault="00667C38" w:rsidP="00667C38">
      <w:pPr>
        <w:jc w:val="center"/>
        <w:rPr>
          <w:b/>
          <w:szCs w:val="28"/>
        </w:rPr>
      </w:pPr>
      <w:r w:rsidRPr="00F061D3">
        <w:rPr>
          <w:b/>
          <w:szCs w:val="28"/>
        </w:rPr>
        <w:t>ТЮЛЯЧИНСКОГО МУНИЦИПАЛЬНОГО РАЙОНА</w:t>
      </w:r>
    </w:p>
    <w:p w:rsidR="00667C38" w:rsidRPr="00F061D3" w:rsidRDefault="00667C38" w:rsidP="00667C38">
      <w:pPr>
        <w:jc w:val="center"/>
        <w:rPr>
          <w:b/>
          <w:szCs w:val="28"/>
        </w:rPr>
      </w:pPr>
      <w:r w:rsidRPr="00F061D3">
        <w:rPr>
          <w:b/>
          <w:szCs w:val="28"/>
        </w:rPr>
        <w:t>РЕСПУБЛИКИ  ТАТАРСТАН</w:t>
      </w:r>
    </w:p>
    <w:p w:rsidR="00667C38" w:rsidRPr="00F061D3" w:rsidRDefault="00667C38" w:rsidP="00667C38">
      <w:pPr>
        <w:jc w:val="center"/>
        <w:rPr>
          <w:b/>
          <w:szCs w:val="28"/>
        </w:rPr>
      </w:pPr>
    </w:p>
    <w:p w:rsidR="00667C38" w:rsidRPr="00F061D3" w:rsidRDefault="00667C38" w:rsidP="00667C38">
      <w:pPr>
        <w:jc w:val="center"/>
        <w:rPr>
          <w:b/>
          <w:szCs w:val="28"/>
        </w:rPr>
      </w:pPr>
      <w:r w:rsidRPr="00F061D3">
        <w:rPr>
          <w:b/>
          <w:szCs w:val="28"/>
        </w:rPr>
        <w:t>РЕШЕНИЕ</w:t>
      </w:r>
    </w:p>
    <w:p w:rsidR="00667C38" w:rsidRPr="00F061D3" w:rsidRDefault="008B3C60" w:rsidP="00667C38">
      <w:pPr>
        <w:jc w:val="center"/>
        <w:rPr>
          <w:b/>
          <w:szCs w:val="28"/>
        </w:rPr>
      </w:pPr>
      <w:r>
        <w:rPr>
          <w:b/>
          <w:szCs w:val="28"/>
        </w:rPr>
        <w:t xml:space="preserve">двадцатого  </w:t>
      </w:r>
      <w:r w:rsidR="00667C38" w:rsidRPr="00F061D3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 четвертого </w:t>
      </w:r>
      <w:r w:rsidR="00667C38" w:rsidRPr="00F061D3">
        <w:rPr>
          <w:b/>
          <w:szCs w:val="28"/>
        </w:rPr>
        <w:t xml:space="preserve"> созыва</w:t>
      </w:r>
    </w:p>
    <w:p w:rsidR="00667C38" w:rsidRPr="008D480D" w:rsidRDefault="00667C38" w:rsidP="00667C38">
      <w:pPr>
        <w:rPr>
          <w:b/>
          <w:szCs w:val="28"/>
        </w:rPr>
      </w:pPr>
    </w:p>
    <w:p w:rsidR="00667C38" w:rsidRPr="00F061D3" w:rsidRDefault="00DD3A4E" w:rsidP="00667C38">
      <w:pPr>
        <w:rPr>
          <w:b/>
          <w:szCs w:val="28"/>
        </w:rPr>
      </w:pPr>
      <w:r>
        <w:rPr>
          <w:b/>
          <w:szCs w:val="28"/>
        </w:rPr>
        <w:t xml:space="preserve">16 декабря </w:t>
      </w:r>
      <w:r w:rsidR="00667C38">
        <w:rPr>
          <w:b/>
          <w:szCs w:val="28"/>
        </w:rPr>
        <w:t xml:space="preserve"> 2022</w:t>
      </w:r>
      <w:r>
        <w:rPr>
          <w:b/>
          <w:szCs w:val="28"/>
        </w:rPr>
        <w:t xml:space="preserve"> г.</w:t>
      </w:r>
      <w:r w:rsidR="00667C38" w:rsidRPr="00F061D3">
        <w:rPr>
          <w:b/>
          <w:szCs w:val="28"/>
        </w:rPr>
        <w:t xml:space="preserve">                               № </w:t>
      </w:r>
      <w:r>
        <w:rPr>
          <w:b/>
          <w:szCs w:val="28"/>
        </w:rPr>
        <w:t>63</w:t>
      </w:r>
      <w:r w:rsidR="00667C38">
        <w:rPr>
          <w:b/>
          <w:szCs w:val="28"/>
        </w:rPr>
        <w:t xml:space="preserve">                                    </w:t>
      </w:r>
      <w:r w:rsidR="008B3C60">
        <w:rPr>
          <w:b/>
          <w:szCs w:val="28"/>
        </w:rPr>
        <w:t>д</w:t>
      </w:r>
      <w:r w:rsidR="00667C38">
        <w:rPr>
          <w:b/>
          <w:szCs w:val="28"/>
        </w:rPr>
        <w:t>.</w:t>
      </w:r>
      <w:r w:rsidR="008B3C60">
        <w:rPr>
          <w:b/>
          <w:szCs w:val="28"/>
        </w:rPr>
        <w:t xml:space="preserve"> Айдарово</w:t>
      </w:r>
    </w:p>
    <w:p w:rsidR="00667C38" w:rsidRPr="008D480D" w:rsidRDefault="00667C38" w:rsidP="00667C38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667C38" w:rsidRPr="00F061D3" w:rsidRDefault="00667C38" w:rsidP="00667C38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Pr="005D5D0A">
        <w:rPr>
          <w:rFonts w:ascii="Times New Roman" w:hAnsi="Times New Roman" w:cs="Times New Roman"/>
          <w:b w:val="0"/>
          <w:color w:val="FF0000"/>
          <w:sz w:val="28"/>
          <w:szCs w:val="28"/>
        </w:rPr>
        <w:t>изменений</w:t>
      </w:r>
      <w:r w:rsidR="008B3C6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врешение Совета </w:t>
      </w:r>
      <w:r w:rsidR="008B3C60">
        <w:rPr>
          <w:rFonts w:ascii="Times New Roman" w:hAnsi="Times New Roman" w:cs="Times New Roman"/>
          <w:b w:val="0"/>
          <w:sz w:val="28"/>
          <w:szCs w:val="28"/>
        </w:rPr>
        <w:t xml:space="preserve">Айдаровского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B3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3C60">
        <w:rPr>
          <w:rFonts w:ascii="Times New Roman" w:hAnsi="Times New Roman" w:cs="Times New Roman"/>
          <w:b w:val="0"/>
          <w:sz w:val="28"/>
          <w:szCs w:val="28"/>
        </w:rPr>
        <w:t>21.05.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2018 г. № </w:t>
      </w:r>
      <w:r w:rsidR="008B3C60"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667C38" w:rsidRPr="00F061D3" w:rsidRDefault="00667C38" w:rsidP="00667C38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1D3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Pr="00F061D3">
        <w:rPr>
          <w:rFonts w:ascii="Times New Roman" w:hAnsi="Times New Roman" w:cs="Times New Roman"/>
          <w:b w:val="0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r w:rsidR="008B3C60">
        <w:rPr>
          <w:rFonts w:ascii="Times New Roman" w:hAnsi="Times New Roman" w:cs="Times New Roman"/>
          <w:b w:val="0"/>
          <w:sz w:val="28"/>
          <w:szCs w:val="28"/>
        </w:rPr>
        <w:t xml:space="preserve"> Айдаровского </w:t>
      </w:r>
      <w:r w:rsidRPr="00F061D3">
        <w:rPr>
          <w:rFonts w:ascii="Times New Roman" w:hAnsi="Times New Roman" w:cs="Times New Roman"/>
          <w:b w:val="0"/>
          <w:sz w:val="28"/>
          <w:szCs w:val="28"/>
        </w:rPr>
        <w:t>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67C38" w:rsidRPr="00527E41" w:rsidRDefault="00667C38" w:rsidP="00667C38">
      <w:pPr>
        <w:pStyle w:val="ConsPlusTitle"/>
        <w:suppressAutoHyphens/>
        <w:spacing w:line="276" w:lineRule="auto"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C38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proofErr w:type="gramStart"/>
      <w:r w:rsidRPr="0012307F">
        <w:rPr>
          <w:rFonts w:eastAsiaTheme="minorHAnsi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12307F">
        <w:rPr>
          <w:sz w:val="28"/>
          <w:szCs w:val="28"/>
        </w:rPr>
        <w:t xml:space="preserve">в соответствии с постановлением Кабинета Министров Республики Татарстан от </w:t>
      </w:r>
      <w:r>
        <w:rPr>
          <w:sz w:val="28"/>
          <w:szCs w:val="28"/>
        </w:rPr>
        <w:t>17</w:t>
      </w:r>
      <w:r w:rsidRPr="0012307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2307F">
        <w:rPr>
          <w:sz w:val="28"/>
          <w:szCs w:val="28"/>
        </w:rPr>
        <w:t>.20</w:t>
      </w:r>
      <w:r>
        <w:rPr>
          <w:sz w:val="28"/>
          <w:szCs w:val="28"/>
        </w:rPr>
        <w:t>22 №1015 «</w:t>
      </w:r>
      <w:r w:rsidRPr="0012307F">
        <w:rPr>
          <w:sz w:val="28"/>
          <w:szCs w:val="28"/>
        </w:rPr>
        <w:t>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</w:t>
      </w:r>
      <w:proofErr w:type="gramEnd"/>
      <w:r w:rsidRPr="0012307F">
        <w:rPr>
          <w:sz w:val="28"/>
          <w:szCs w:val="28"/>
        </w:rPr>
        <w:t xml:space="preserve"> муниципальных </w:t>
      </w:r>
      <w:r w:rsidRPr="00F143BC">
        <w:rPr>
          <w:sz w:val="28"/>
          <w:szCs w:val="28"/>
        </w:rPr>
        <w:t xml:space="preserve">образований и должностных окладов муниципальных служащих в Республике Татарстан», Совет </w:t>
      </w:r>
      <w:r w:rsidR="008B3C60">
        <w:rPr>
          <w:sz w:val="28"/>
          <w:szCs w:val="28"/>
        </w:rPr>
        <w:t xml:space="preserve">Айдаровского </w:t>
      </w:r>
      <w:r w:rsidRPr="00F143BC">
        <w:rPr>
          <w:sz w:val="28"/>
          <w:szCs w:val="28"/>
        </w:rPr>
        <w:t>сельского поселения Тюлячинского муниципального района Республики Татарстанрешил,</w:t>
      </w:r>
    </w:p>
    <w:p w:rsidR="00667C38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r w:rsidRPr="00F040D3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в </w:t>
      </w:r>
      <w:r w:rsidRPr="00F040D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040D3">
        <w:rPr>
          <w:sz w:val="28"/>
          <w:szCs w:val="28"/>
        </w:rPr>
        <w:t xml:space="preserve">  Совета </w:t>
      </w:r>
      <w:r w:rsidR="008B3C60">
        <w:rPr>
          <w:sz w:val="28"/>
          <w:szCs w:val="28"/>
        </w:rPr>
        <w:t xml:space="preserve">Айдаровского </w:t>
      </w:r>
      <w:r w:rsidRPr="00F040D3">
        <w:rPr>
          <w:sz w:val="28"/>
          <w:szCs w:val="28"/>
        </w:rPr>
        <w:t xml:space="preserve"> сельского поселения от </w:t>
      </w:r>
      <w:r w:rsidR="008B3C60">
        <w:rPr>
          <w:sz w:val="28"/>
          <w:szCs w:val="28"/>
        </w:rPr>
        <w:t>21.05.</w:t>
      </w:r>
      <w:r w:rsidRPr="00F040D3">
        <w:rPr>
          <w:sz w:val="28"/>
          <w:szCs w:val="28"/>
        </w:rPr>
        <w:t xml:space="preserve">2018 г. № </w:t>
      </w:r>
      <w:r w:rsidR="008B3C60">
        <w:rPr>
          <w:sz w:val="28"/>
          <w:szCs w:val="28"/>
        </w:rPr>
        <w:t>99</w:t>
      </w:r>
      <w:r w:rsidRPr="00F040D3">
        <w:rPr>
          <w:sz w:val="28"/>
          <w:szCs w:val="28"/>
        </w:rPr>
        <w:t xml:space="preserve">  «О </w:t>
      </w:r>
      <w:proofErr w:type="gramStart"/>
      <w:r w:rsidRPr="00F040D3">
        <w:rPr>
          <w:sz w:val="28"/>
          <w:szCs w:val="28"/>
        </w:rPr>
        <w:t>Положении</w:t>
      </w:r>
      <w:proofErr w:type="gramEnd"/>
      <w:r w:rsidRPr="00F040D3">
        <w:rPr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r w:rsidR="008B3C60">
        <w:rPr>
          <w:sz w:val="28"/>
          <w:szCs w:val="28"/>
        </w:rPr>
        <w:t>Айдаровского</w:t>
      </w:r>
      <w:r w:rsidRPr="00F040D3">
        <w:rPr>
          <w:sz w:val="28"/>
          <w:szCs w:val="28"/>
        </w:rPr>
        <w:t xml:space="preserve"> сельского поселения Тюлячинского муниципального района </w:t>
      </w:r>
      <w:r w:rsidR="008B3C60">
        <w:rPr>
          <w:sz w:val="28"/>
          <w:szCs w:val="28"/>
        </w:rPr>
        <w:t xml:space="preserve"> </w:t>
      </w:r>
      <w:r w:rsidRPr="00F040D3">
        <w:rPr>
          <w:sz w:val="28"/>
          <w:szCs w:val="28"/>
        </w:rPr>
        <w:t>Республики Татарстан»</w:t>
      </w:r>
      <w:r>
        <w:rPr>
          <w:sz w:val="28"/>
          <w:szCs w:val="28"/>
        </w:rPr>
        <w:t xml:space="preserve"> (в редакции решений от </w:t>
      </w:r>
      <w:r w:rsidR="00C82D22">
        <w:rPr>
          <w:sz w:val="28"/>
          <w:szCs w:val="28"/>
        </w:rPr>
        <w:t>19.09.2018</w:t>
      </w:r>
      <w:r>
        <w:rPr>
          <w:sz w:val="28"/>
          <w:szCs w:val="28"/>
        </w:rPr>
        <w:t xml:space="preserve"> №</w:t>
      </w:r>
      <w:r w:rsidR="00C82D22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, от </w:t>
      </w:r>
      <w:r w:rsidR="00C82D22">
        <w:rPr>
          <w:sz w:val="28"/>
          <w:szCs w:val="28"/>
        </w:rPr>
        <w:t>09.10.2018</w:t>
      </w:r>
      <w:r>
        <w:rPr>
          <w:sz w:val="28"/>
          <w:szCs w:val="28"/>
        </w:rPr>
        <w:t xml:space="preserve"> № </w:t>
      </w:r>
      <w:r w:rsidR="00C82D22">
        <w:rPr>
          <w:sz w:val="28"/>
          <w:szCs w:val="28"/>
        </w:rPr>
        <w:t xml:space="preserve">109,20.12.2018 г. № 117,08.05.2019 г. № </w:t>
      </w:r>
      <w:r w:rsidR="00C82D22">
        <w:rPr>
          <w:sz w:val="28"/>
          <w:szCs w:val="28"/>
        </w:rPr>
        <w:lastRenderedPageBreak/>
        <w:t>132,29.08.2019 г. № 136,</w:t>
      </w:r>
      <w:r w:rsidR="00DD3A4E">
        <w:rPr>
          <w:sz w:val="28"/>
          <w:szCs w:val="28"/>
        </w:rPr>
        <w:t xml:space="preserve"> </w:t>
      </w:r>
      <w:r w:rsidR="00C82D22">
        <w:rPr>
          <w:sz w:val="28"/>
          <w:szCs w:val="28"/>
        </w:rPr>
        <w:t>24.10.2022 г. № 60</w:t>
      </w:r>
      <w:r>
        <w:rPr>
          <w:sz w:val="28"/>
          <w:szCs w:val="28"/>
        </w:rPr>
        <w:t>)(далее по тексту – решение) следующие изменения:</w:t>
      </w:r>
    </w:p>
    <w:p w:rsidR="00667C38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1.1.Пункт 1 решения изложить в следующемсодержании:</w:t>
      </w:r>
    </w:p>
    <w:p w:rsidR="00667C38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должностной оклад специалиста младшей группы должностей муниципальной службы в сельском поселении 12688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667C38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11.5 Положения</w:t>
      </w:r>
      <w:r w:rsidRPr="00F040D3">
        <w:rPr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r w:rsidR="00166147">
        <w:rPr>
          <w:sz w:val="28"/>
          <w:szCs w:val="28"/>
        </w:rPr>
        <w:t xml:space="preserve">Айдаровского </w:t>
      </w:r>
      <w:r w:rsidRPr="00F040D3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 xml:space="preserve"> изложить в следующем содержании:</w:t>
      </w:r>
    </w:p>
    <w:p w:rsidR="00667C38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«11.5 Муниципальному служащему устанавливается ежемесячное денежное поощрение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>, не превышающем 18 процентов должностного оклада.».</w:t>
      </w:r>
    </w:p>
    <w:p w:rsidR="00667C38" w:rsidRPr="000E689F" w:rsidRDefault="00667C38" w:rsidP="00667C38">
      <w:pPr>
        <w:pStyle w:val="headertext"/>
        <w:ind w:firstLine="567"/>
        <w:jc w:val="both"/>
        <w:rPr>
          <w:sz w:val="28"/>
          <w:szCs w:val="28"/>
        </w:rPr>
      </w:pPr>
      <w:r w:rsidRPr="000E68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bookmarkStart w:id="0" w:name="_GoBack"/>
      <w:bookmarkEnd w:id="0"/>
      <w:r w:rsidRPr="000E689F">
        <w:rPr>
          <w:sz w:val="28"/>
          <w:szCs w:val="28"/>
        </w:rPr>
        <w:t xml:space="preserve">. Приложение №2 решения изложить в </w:t>
      </w:r>
      <w:proofErr w:type="gramStart"/>
      <w:r w:rsidRPr="000E689F">
        <w:rPr>
          <w:sz w:val="28"/>
          <w:szCs w:val="28"/>
        </w:rPr>
        <w:t>следующем</w:t>
      </w:r>
      <w:proofErr w:type="gramEnd"/>
      <w:r w:rsidRPr="000E689F">
        <w:rPr>
          <w:sz w:val="28"/>
          <w:szCs w:val="28"/>
        </w:rPr>
        <w:t xml:space="preserve"> содержании:</w:t>
      </w:r>
    </w:p>
    <w:p w:rsidR="00667C38" w:rsidRPr="005E4514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61D3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proofErr w:type="gramStart"/>
      <w:r w:rsidRPr="00F061D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667C38" w:rsidRPr="00F061D3" w:rsidRDefault="00166147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="00667C38" w:rsidRPr="007A4AAA">
        <w:rPr>
          <w:rFonts w:ascii="Times New Roman" w:hAnsi="Times New Roman" w:cs="Times New Roman"/>
          <w:sz w:val="28"/>
          <w:szCs w:val="28"/>
        </w:rPr>
        <w:t>сельского</w:t>
      </w:r>
      <w:r w:rsidR="00667C38" w:rsidRPr="00F061D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38" w:rsidRPr="00F061D3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667C38" w:rsidRPr="008D480D" w:rsidRDefault="00DD3A4E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7C38">
        <w:rPr>
          <w:rFonts w:ascii="Times New Roman" w:hAnsi="Times New Roman" w:cs="Times New Roman"/>
          <w:sz w:val="28"/>
          <w:szCs w:val="28"/>
        </w:rPr>
        <w:t>т</w:t>
      </w:r>
      <w:r w:rsidR="00166147">
        <w:rPr>
          <w:rFonts w:ascii="Times New Roman" w:hAnsi="Times New Roman" w:cs="Times New Roman"/>
          <w:sz w:val="28"/>
          <w:szCs w:val="28"/>
        </w:rPr>
        <w:t xml:space="preserve"> 21.05.</w:t>
      </w:r>
      <w:r w:rsidR="00667C38">
        <w:rPr>
          <w:rFonts w:ascii="Times New Roman" w:hAnsi="Times New Roman" w:cs="Times New Roman"/>
          <w:sz w:val="28"/>
          <w:szCs w:val="28"/>
        </w:rPr>
        <w:t xml:space="preserve"> </w:t>
      </w:r>
      <w:r w:rsidR="00667C38" w:rsidRPr="00F061D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166147">
        <w:rPr>
          <w:rFonts w:ascii="Times New Roman" w:hAnsi="Times New Roman" w:cs="Times New Roman"/>
          <w:sz w:val="28"/>
          <w:szCs w:val="28"/>
        </w:rPr>
        <w:t>99</w:t>
      </w: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основе, </w:t>
      </w:r>
      <w:r w:rsidR="00166147" w:rsidRPr="00166147">
        <w:rPr>
          <w:rFonts w:ascii="Times New Roman" w:hAnsi="Times New Roman" w:cs="Times New Roman"/>
          <w:sz w:val="28"/>
          <w:szCs w:val="28"/>
        </w:rPr>
        <w:t>Айдаровского</w:t>
      </w:r>
      <w:r w:rsidR="00166147">
        <w:rPr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 xml:space="preserve">сельского поселенияТюлячинского муниципального районаРеспублики Татарстан </w:t>
      </w: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812"/>
        <w:gridCol w:w="2268"/>
      </w:tblGrid>
      <w:tr w:rsidR="00667C38" w:rsidRPr="00F061D3" w:rsidTr="006D24C0">
        <w:trPr>
          <w:trHeight w:val="46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Наименования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Размер ежемесячного денежного вознаграждения, рублей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12 группа</w:t>
            </w:r>
          </w:p>
        </w:tc>
      </w:tr>
      <w:tr w:rsidR="00667C38" w:rsidRPr="00F061D3" w:rsidTr="006D24C0">
        <w:trPr>
          <w:trHeight w:val="2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2</w:t>
            </w:r>
          </w:p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lastRenderedPageBreak/>
              <w:t xml:space="preserve">Глава </w:t>
            </w:r>
            <w:proofErr w:type="gramStart"/>
            <w:r w:rsidRPr="00F061D3">
              <w:rPr>
                <w:szCs w:val="28"/>
              </w:rPr>
              <w:t>муниципального</w:t>
            </w:r>
            <w:proofErr w:type="gramEnd"/>
            <w:r w:rsidRPr="00F061D3">
              <w:rPr>
                <w:szCs w:val="28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</w:t>
            </w:r>
            <w:r>
              <w:rPr>
                <w:szCs w:val="28"/>
              </w:rPr>
              <w:t>7 390,0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 xml:space="preserve">Заместитель Главы </w:t>
            </w:r>
            <w:proofErr w:type="gramStart"/>
            <w:r w:rsidRPr="00F061D3">
              <w:rPr>
                <w:szCs w:val="28"/>
              </w:rPr>
              <w:t>муниципального</w:t>
            </w:r>
            <w:proofErr w:type="gramEnd"/>
            <w:r w:rsidRPr="00F061D3">
              <w:rPr>
                <w:szCs w:val="28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12689,0</w:t>
            </w:r>
          </w:p>
        </w:tc>
      </w:tr>
    </w:tbl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</w:pPr>
      <w:r>
        <w:rPr>
          <w:szCs w:val="28"/>
        </w:rPr>
        <w:tab/>
      </w:r>
    </w:p>
    <w:p w:rsidR="00667C38" w:rsidRDefault="00667C38" w:rsidP="00667C38">
      <w:pPr>
        <w:pStyle w:val="ConsPlusNormal"/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F061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61D3">
        <w:rPr>
          <w:rFonts w:ascii="Times New Roman" w:hAnsi="Times New Roman" w:cs="Times New Roman"/>
          <w:sz w:val="28"/>
          <w:szCs w:val="28"/>
        </w:rPr>
        <w:t>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 1 января 2023 года</w:t>
      </w:r>
      <w:r w:rsidRPr="00F06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C38" w:rsidRPr="00F061D3" w:rsidRDefault="00667C38" w:rsidP="00667C38">
      <w:pPr>
        <w:pStyle w:val="ConsPlusNormal"/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7C38" w:rsidRPr="00F061D3" w:rsidRDefault="00667C38" w:rsidP="00667C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C38" w:rsidRPr="00F061D3" w:rsidRDefault="00667C38" w:rsidP="00667C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C38" w:rsidRPr="00F061D3" w:rsidRDefault="00667C38" w:rsidP="00667C38">
      <w:pPr>
        <w:spacing w:line="240" w:lineRule="auto"/>
        <w:ind w:firstLine="709"/>
        <w:jc w:val="both"/>
      </w:pPr>
      <w:r w:rsidRPr="00F061D3">
        <w:t xml:space="preserve">Глава </w:t>
      </w:r>
      <w:r w:rsidR="00166147">
        <w:t xml:space="preserve"> Айдаровского</w:t>
      </w:r>
    </w:p>
    <w:p w:rsidR="00667C38" w:rsidRPr="00F061D3" w:rsidRDefault="00667C38" w:rsidP="00667C38">
      <w:pPr>
        <w:spacing w:line="240" w:lineRule="auto"/>
        <w:ind w:firstLine="709"/>
        <w:jc w:val="both"/>
      </w:pPr>
      <w:r w:rsidRPr="00F061D3">
        <w:t>сельского поселения Тюлячинского</w:t>
      </w:r>
    </w:p>
    <w:p w:rsidR="00667C38" w:rsidRPr="00F061D3" w:rsidRDefault="00667C38" w:rsidP="00667C38">
      <w:pPr>
        <w:spacing w:line="240" w:lineRule="auto"/>
        <w:ind w:firstLine="709"/>
        <w:jc w:val="both"/>
      </w:pPr>
      <w:r w:rsidRPr="00F061D3">
        <w:t>муниципального района</w:t>
      </w:r>
    </w:p>
    <w:p w:rsidR="00667C38" w:rsidRPr="00F061D3" w:rsidRDefault="00667C38" w:rsidP="00667C38">
      <w:pPr>
        <w:spacing w:line="240" w:lineRule="auto"/>
        <w:ind w:firstLine="709"/>
        <w:jc w:val="both"/>
      </w:pPr>
      <w:r w:rsidRPr="00F061D3">
        <w:t>Республики Татарстан</w:t>
      </w:r>
      <w:r w:rsidRPr="00F061D3">
        <w:tab/>
      </w:r>
      <w:r w:rsidRPr="00F061D3">
        <w:tab/>
      </w:r>
      <w:r w:rsidRPr="00F061D3">
        <w:tab/>
      </w:r>
      <w:r w:rsidRPr="00F061D3">
        <w:tab/>
      </w:r>
      <w:r w:rsidR="00166147">
        <w:t xml:space="preserve">              </w:t>
      </w:r>
      <w:r w:rsidRPr="00F061D3">
        <w:tab/>
      </w:r>
      <w:r w:rsidR="00166147">
        <w:t xml:space="preserve">          Р.Р.Хазиев</w:t>
      </w:r>
    </w:p>
    <w:p w:rsidR="00667C38" w:rsidRPr="00EA7032" w:rsidRDefault="00667C38" w:rsidP="00667C38">
      <w:pPr>
        <w:spacing w:line="240" w:lineRule="auto"/>
        <w:ind w:firstLine="709"/>
        <w:jc w:val="both"/>
        <w:rPr>
          <w:szCs w:val="28"/>
        </w:rPr>
      </w:pPr>
      <w:r w:rsidRPr="00F061D3">
        <w:tab/>
      </w:r>
    </w:p>
    <w:p w:rsidR="00667C38" w:rsidRPr="00EA7032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EA7032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EA7032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166147" w:rsidRPr="006640CA" w:rsidRDefault="00166147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EA7032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EA7032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EA7032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proofErr w:type="gramStart"/>
      <w:r w:rsidRPr="00F061D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A4AAA">
        <w:rPr>
          <w:rFonts w:ascii="Times New Roman" w:hAnsi="Times New Roman" w:cs="Times New Roman"/>
          <w:sz w:val="28"/>
          <w:szCs w:val="28"/>
        </w:rPr>
        <w:t>Баландышского сельского</w:t>
      </w:r>
      <w:r w:rsidRPr="00F061D3">
        <w:rPr>
          <w:rFonts w:ascii="Times New Roman" w:hAnsi="Times New Roman" w:cs="Times New Roman"/>
          <w:sz w:val="28"/>
          <w:szCs w:val="28"/>
        </w:rPr>
        <w:t xml:space="preserve"> поселенияТюлячинского муниципального района</w:t>
      </w: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667C38" w:rsidRPr="008D480D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61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F061D3">
        <w:rPr>
          <w:rFonts w:ascii="Times New Roman" w:hAnsi="Times New Roman" w:cs="Times New Roman"/>
          <w:sz w:val="28"/>
          <w:szCs w:val="28"/>
        </w:rPr>
        <w:t xml:space="preserve">2018 г. № </w:t>
      </w:r>
      <w:r w:rsidRPr="008D480D">
        <w:rPr>
          <w:rFonts w:ascii="Times New Roman" w:hAnsi="Times New Roman" w:cs="Times New Roman"/>
          <w:sz w:val="28"/>
          <w:szCs w:val="28"/>
        </w:rPr>
        <w:t>80</w:t>
      </w: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основе, </w:t>
      </w:r>
      <w:r w:rsidRPr="006640CA">
        <w:rPr>
          <w:sz w:val="28"/>
          <w:szCs w:val="28"/>
        </w:rPr>
        <w:t>Баландышского</w:t>
      </w:r>
      <w:r w:rsidRPr="00F061D3">
        <w:rPr>
          <w:rFonts w:ascii="Times New Roman" w:hAnsi="Times New Roman" w:cs="Times New Roman"/>
          <w:sz w:val="28"/>
          <w:szCs w:val="28"/>
        </w:rPr>
        <w:t xml:space="preserve">сельского поселенияТюлячинского муниципального районаРеспублики Татарстан </w:t>
      </w: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812"/>
        <w:gridCol w:w="2268"/>
      </w:tblGrid>
      <w:tr w:rsidR="00667C38" w:rsidRPr="00F061D3" w:rsidTr="006D24C0">
        <w:trPr>
          <w:trHeight w:val="46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Наименования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Коэффициенты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12 группа</w:t>
            </w:r>
          </w:p>
        </w:tc>
      </w:tr>
      <w:tr w:rsidR="00667C38" w:rsidRPr="00F061D3" w:rsidTr="006D24C0">
        <w:trPr>
          <w:trHeight w:val="2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2</w:t>
            </w:r>
          </w:p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(рублей)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 xml:space="preserve">Глава </w:t>
            </w:r>
            <w:proofErr w:type="gramStart"/>
            <w:r w:rsidRPr="00F061D3">
              <w:rPr>
                <w:szCs w:val="28"/>
              </w:rPr>
              <w:t>муниципального</w:t>
            </w:r>
            <w:proofErr w:type="gramEnd"/>
            <w:r w:rsidRPr="00F061D3">
              <w:rPr>
                <w:szCs w:val="28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15 300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 xml:space="preserve">Заместитель Главы </w:t>
            </w:r>
            <w:proofErr w:type="gramStart"/>
            <w:r w:rsidRPr="00F061D3">
              <w:rPr>
                <w:szCs w:val="28"/>
              </w:rPr>
              <w:t>муниципального</w:t>
            </w:r>
            <w:proofErr w:type="gramEnd"/>
            <w:r w:rsidRPr="00F061D3">
              <w:rPr>
                <w:szCs w:val="28"/>
              </w:rPr>
              <w:t xml:space="preserve">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11 164</w:t>
            </w:r>
          </w:p>
        </w:tc>
      </w:tr>
    </w:tbl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F061D3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proofErr w:type="gramStart"/>
      <w:r w:rsidRPr="00F061D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решению Совета </w:t>
      </w:r>
      <w:r w:rsidRPr="007A4AAA">
        <w:rPr>
          <w:rFonts w:ascii="Times New Roman" w:hAnsi="Times New Roman" w:cs="Times New Roman"/>
          <w:sz w:val="28"/>
          <w:szCs w:val="28"/>
        </w:rPr>
        <w:t>Баландышского</w:t>
      </w:r>
      <w:r w:rsidRPr="00F061D3">
        <w:rPr>
          <w:rFonts w:ascii="Times New Roman" w:hAnsi="Times New Roman" w:cs="Times New Roman"/>
          <w:sz w:val="28"/>
          <w:szCs w:val="28"/>
        </w:rPr>
        <w:t>сельского поселенияТюлячинского муниципального района</w:t>
      </w:r>
    </w:p>
    <w:p w:rsidR="00667C38" w:rsidRPr="00F061D3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667C38" w:rsidRPr="008D480D" w:rsidRDefault="00667C38" w:rsidP="00667C3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6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F061D3">
        <w:rPr>
          <w:rFonts w:ascii="Times New Roman" w:hAnsi="Times New Roman" w:cs="Times New Roman"/>
          <w:sz w:val="28"/>
          <w:szCs w:val="28"/>
        </w:rPr>
        <w:t xml:space="preserve">2018 г. № </w:t>
      </w:r>
      <w:r w:rsidRPr="008D480D">
        <w:rPr>
          <w:rFonts w:ascii="Times New Roman" w:hAnsi="Times New Roman" w:cs="Times New Roman"/>
          <w:sz w:val="28"/>
          <w:szCs w:val="28"/>
        </w:rPr>
        <w:t>80</w:t>
      </w: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Коэффициенты кратности, применяемые при исчислении размеров должностных окладов муниципальных служащих </w:t>
      </w:r>
      <w:r w:rsidRPr="007A4AAA">
        <w:rPr>
          <w:rFonts w:ascii="Times New Roman" w:hAnsi="Times New Roman" w:cs="Times New Roman"/>
          <w:sz w:val="28"/>
          <w:szCs w:val="28"/>
        </w:rPr>
        <w:t>Баландышского</w:t>
      </w:r>
      <w:r w:rsidRPr="00F061D3">
        <w:rPr>
          <w:rFonts w:ascii="Times New Roman" w:hAnsi="Times New Roman" w:cs="Times New Roman"/>
          <w:sz w:val="28"/>
          <w:szCs w:val="28"/>
        </w:rPr>
        <w:t xml:space="preserve">сельского поселенияТюлячинского </w:t>
      </w:r>
      <w:proofErr w:type="gramStart"/>
      <w:r w:rsidRPr="00F061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061D3">
        <w:rPr>
          <w:rFonts w:ascii="Times New Roman" w:hAnsi="Times New Roman" w:cs="Times New Roman"/>
          <w:sz w:val="28"/>
          <w:szCs w:val="28"/>
        </w:rPr>
        <w:t xml:space="preserve"> районаРеспублики Татарстан </w:t>
      </w:r>
    </w:p>
    <w:p w:rsidR="00667C38" w:rsidRPr="00F061D3" w:rsidRDefault="00667C38" w:rsidP="00667C38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812"/>
        <w:gridCol w:w="2268"/>
      </w:tblGrid>
      <w:tr w:rsidR="00667C38" w:rsidRPr="00F061D3" w:rsidTr="006D24C0">
        <w:trPr>
          <w:trHeight w:val="46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Наименования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Коэффициенты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12 группа</w:t>
            </w:r>
          </w:p>
        </w:tc>
      </w:tr>
      <w:tr w:rsidR="00667C38" w:rsidRPr="00F061D3" w:rsidTr="006D24C0">
        <w:trPr>
          <w:trHeight w:val="2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2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 xml:space="preserve">Руководитель Исполнительного комитета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1,37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 xml:space="preserve">Заместитель руководителя (секретарь) Исполнительного комитета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1,33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>Ведущий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1,11</w:t>
            </w:r>
          </w:p>
        </w:tc>
      </w:tr>
      <w:tr w:rsidR="00667C38" w:rsidRPr="00F061D3" w:rsidTr="006D24C0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uppressAutoHyphens/>
              <w:spacing w:line="276" w:lineRule="auto"/>
              <w:rPr>
                <w:szCs w:val="28"/>
              </w:rPr>
            </w:pPr>
            <w:r w:rsidRPr="00F061D3">
              <w:rPr>
                <w:szCs w:val="28"/>
              </w:rPr>
              <w:t>Специалист 1 категории, специалист 2 категории, 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C38" w:rsidRPr="00F061D3" w:rsidRDefault="00667C38" w:rsidP="006D24C0">
            <w:pPr>
              <w:tabs>
                <w:tab w:val="left" w:pos="5328"/>
              </w:tabs>
              <w:spacing w:line="276" w:lineRule="auto"/>
              <w:jc w:val="center"/>
              <w:rPr>
                <w:szCs w:val="28"/>
              </w:rPr>
            </w:pPr>
            <w:r w:rsidRPr="00F061D3">
              <w:rPr>
                <w:szCs w:val="28"/>
              </w:rPr>
              <w:t>1,00</w:t>
            </w:r>
          </w:p>
        </w:tc>
      </w:tr>
    </w:tbl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left="4536" w:firstLine="0"/>
        <w:jc w:val="left"/>
        <w:rPr>
          <w:sz w:val="24"/>
        </w:rPr>
      </w:pPr>
    </w:p>
    <w:p w:rsidR="00667C38" w:rsidRPr="00F061D3" w:rsidRDefault="00667C38" w:rsidP="00667C38">
      <w:pPr>
        <w:pStyle w:val="2"/>
        <w:tabs>
          <w:tab w:val="left" w:pos="1134"/>
        </w:tabs>
        <w:suppressAutoHyphens/>
        <w:spacing w:line="240" w:lineRule="auto"/>
        <w:ind w:left="4536" w:firstLine="0"/>
        <w:jc w:val="left"/>
        <w:rPr>
          <w:sz w:val="24"/>
        </w:rPr>
      </w:pPr>
    </w:p>
    <w:p w:rsidR="003A69C0" w:rsidRDefault="003A69C0"/>
    <w:sectPr w:rsidR="003A69C0" w:rsidSect="008B3C6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67C38"/>
    <w:rsid w:val="00060457"/>
    <w:rsid w:val="00166147"/>
    <w:rsid w:val="003A69C0"/>
    <w:rsid w:val="00460B63"/>
    <w:rsid w:val="00667C38"/>
    <w:rsid w:val="008B3C60"/>
    <w:rsid w:val="00C82D22"/>
    <w:rsid w:val="00DD3A4E"/>
    <w:rsid w:val="00F5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3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7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667C38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667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">
    <w:name w:val="headertext"/>
    <w:basedOn w:val="a"/>
    <w:rsid w:val="00667C3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dcterms:created xsi:type="dcterms:W3CDTF">2022-12-08T06:44:00Z</dcterms:created>
  <dcterms:modified xsi:type="dcterms:W3CDTF">2022-12-19T11:05:00Z</dcterms:modified>
</cp:coreProperties>
</file>